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78BEB9" w14:textId="1E2D1291" w:rsidR="00CD632D" w:rsidRDefault="00CD632D" w:rsidP="00CD632D">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64193E">
        <w:rPr>
          <w:rFonts w:ascii="Arial" w:hAnsi="Arial" w:cs="Arial"/>
          <w:b/>
          <w:bCs/>
        </w:rPr>
        <w:t>6485</w:t>
      </w:r>
    </w:p>
    <w:p w14:paraId="5339711C" w14:textId="77777777" w:rsidR="00CD632D" w:rsidRPr="00210D4C" w:rsidRDefault="00CD632D" w:rsidP="00CD632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4F23991" w14:textId="77777777" w:rsidR="00F169BC" w:rsidRDefault="00F169BC" w:rsidP="00311702">
      <w:pPr>
        <w:pStyle w:val="3GPPHeader"/>
      </w:pPr>
    </w:p>
    <w:p w14:paraId="5FB7E722" w14:textId="49044C5C"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r w:rsidR="008A4C42" w:rsidRPr="005906EB">
        <w:t>.</w:t>
      </w:r>
      <w:r w:rsidR="002D497B" w:rsidRPr="005906EB">
        <w:t>2.1</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55FF560E" w:rsidR="00531215" w:rsidRPr="005906EB" w:rsidRDefault="003D3C45" w:rsidP="00311702">
      <w:pPr>
        <w:pStyle w:val="3GPPHeader"/>
      </w:pPr>
      <w:r w:rsidRPr="005906EB">
        <w:t>Title:</w:t>
      </w:r>
      <w:r w:rsidR="00E90E49" w:rsidRPr="005906EB">
        <w:tab/>
      </w:r>
      <w:r w:rsidR="00776774">
        <w:t xml:space="preserve">On </w:t>
      </w:r>
      <w:r w:rsidR="00446D27">
        <w:t xml:space="preserve">Remaining </w:t>
      </w:r>
      <w:r w:rsidR="001F36F5">
        <w:t>Issue</w:t>
      </w:r>
      <w:r w:rsidR="00446D27">
        <w:t>s o</w:t>
      </w:r>
      <w:r w:rsidR="00414520">
        <w:t>f</w:t>
      </w:r>
      <w:r w:rsidR="00CF7F94" w:rsidRPr="005906EB">
        <w:t xml:space="preserve"> Mode 1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35B4ACDA" w14:textId="55E4CFC0" w:rsidR="00E166E5" w:rsidRDefault="00F757FC" w:rsidP="00776774">
      <w:pPr>
        <w:jc w:val="both"/>
      </w:pPr>
      <w:r>
        <w:t>The Release</w:t>
      </w:r>
      <w:r w:rsidR="00776774">
        <w:t xml:space="preserve"> </w:t>
      </w:r>
      <w:r>
        <w:t xml:space="preserve">16 NR V2X specifications were </w:t>
      </w:r>
      <w:r w:rsidR="00776774">
        <w:t xml:space="preserve">initially </w:t>
      </w:r>
      <w:r>
        <w:t xml:space="preserve">approved in Dec. 2019 </w:t>
      </w:r>
      <w:r>
        <w:fldChar w:fldCharType="begin"/>
      </w:r>
      <w:r>
        <w:instrText xml:space="preserve"> REF _Ref20471832 \r \h </w:instrText>
      </w:r>
      <w:r>
        <w:fldChar w:fldCharType="separate"/>
      </w:r>
      <w:r w:rsidR="00AF76EB">
        <w:t>[1]</w:t>
      </w:r>
      <w:r>
        <w:fldChar w:fldCharType="end"/>
      </w:r>
      <w:r>
        <w:t xml:space="preserve">. </w:t>
      </w:r>
      <w:r w:rsidR="00776774">
        <w:t xml:space="preserve">The specifications were updated during the maintenance phase before Release 16 ASN.1 is frozen </w:t>
      </w:r>
      <w:r w:rsidR="00776774">
        <w:fldChar w:fldCharType="begin"/>
      </w:r>
      <w:r w:rsidR="00776774">
        <w:instrText xml:space="preserve"> REF _Ref46756910 \r \h </w:instrText>
      </w:r>
      <w:r w:rsidR="00776774">
        <w:fldChar w:fldCharType="separate"/>
      </w:r>
      <w:r w:rsidR="00AF76EB">
        <w:t>[2]</w:t>
      </w:r>
      <w:r w:rsidR="00776774">
        <w:fldChar w:fldCharType="end"/>
      </w:r>
      <w:r w:rsidR="00776774">
        <w:t>. There are still some remaining open issues on Release 16 NR V2X</w:t>
      </w:r>
      <w:r w:rsidR="00E166E5">
        <w:t xml:space="preserve">. Since these open issues have no impact on Release 16 ASN.1, they have not been addressed due to the meeting time limitation. </w:t>
      </w:r>
    </w:p>
    <w:p w14:paraId="4476BD4C" w14:textId="77777777" w:rsidR="00776774" w:rsidRPr="00446D27" w:rsidRDefault="00776774" w:rsidP="00446D27"/>
    <w:p w14:paraId="6914B841" w14:textId="2D76DA62" w:rsidR="00805EE1" w:rsidRPr="001E7281" w:rsidRDefault="00664811" w:rsidP="00CF7F94">
      <w:pPr>
        <w:jc w:val="both"/>
      </w:pPr>
      <w:r>
        <w:t xml:space="preserve">In this contribution, we </w:t>
      </w:r>
      <w:r w:rsidR="009A18A9">
        <w:t>discuss t</w:t>
      </w:r>
      <w:r w:rsidR="00E166E5">
        <w:t>wo</w:t>
      </w:r>
      <w:r w:rsidR="009A18A9">
        <w:t xml:space="preserve"> </w:t>
      </w:r>
      <w:r w:rsidR="00776774">
        <w:t>remaining open issues</w:t>
      </w:r>
      <w:r w:rsidR="00E166E5">
        <w:t xml:space="preserve"> on mode 1 resource allocation. The first one is on the contents of sidelink HARQ feedback report to gNB, when the maximum number of HARQ retransmissions for a TB is reached. The second one is on DCI format 3_0 size alignment.</w:t>
      </w:r>
      <w:r>
        <w:t xml:space="preserve"> </w:t>
      </w:r>
    </w:p>
    <w:p w14:paraId="5B4ADCB3" w14:textId="7940638B" w:rsidR="000A02CA" w:rsidRPr="00502126" w:rsidRDefault="00EA5A5B" w:rsidP="00502126">
      <w:pPr>
        <w:pStyle w:val="Heading1"/>
      </w:pPr>
      <w:r>
        <w:t>Discussion</w:t>
      </w:r>
    </w:p>
    <w:p w14:paraId="09B2DD81" w14:textId="2547E648" w:rsidR="00776774" w:rsidRPr="00E166E5" w:rsidRDefault="00C738F0" w:rsidP="00CD632D">
      <w:pPr>
        <w:pStyle w:val="Heading2"/>
        <w:ind w:left="720" w:hanging="720"/>
        <w:rPr>
          <w:sz w:val="28"/>
        </w:rPr>
      </w:pPr>
      <w:r>
        <w:rPr>
          <w:sz w:val="28"/>
        </w:rPr>
        <w:t>Contents of s</w:t>
      </w:r>
      <w:r w:rsidR="00CD73BE">
        <w:rPr>
          <w:sz w:val="28"/>
        </w:rPr>
        <w:t xml:space="preserve">idelink HARQ feedback </w:t>
      </w:r>
      <w:r w:rsidR="00DF7DAF">
        <w:rPr>
          <w:sz w:val="28"/>
        </w:rPr>
        <w:t xml:space="preserve">report </w:t>
      </w:r>
      <w:r w:rsidR="00CD73BE">
        <w:rPr>
          <w:sz w:val="28"/>
        </w:rPr>
        <w:t>to gNB</w:t>
      </w:r>
    </w:p>
    <w:p w14:paraId="20619F1D" w14:textId="1ADA7B08" w:rsidR="0063723C" w:rsidRDefault="0063723C" w:rsidP="0063723C">
      <w:pPr>
        <w:jc w:val="both"/>
      </w:pPr>
      <w:r>
        <w:t xml:space="preserve">At the beginning of RAN1 meeting #101-e </w:t>
      </w:r>
      <w:r>
        <w:fldChar w:fldCharType="begin"/>
      </w:r>
      <w:r>
        <w:instrText xml:space="preserve"> REF _Ref46758011 \r \h  \* MERGEFORMAT </w:instrText>
      </w:r>
      <w:r>
        <w:fldChar w:fldCharType="separate"/>
      </w:r>
      <w:r w:rsidR="00AF76EB">
        <w:t>[3]</w:t>
      </w:r>
      <w:r>
        <w:fldChar w:fldCharType="end"/>
      </w:r>
      <w:r>
        <w:t xml:space="preserve">, the remaining </w:t>
      </w:r>
      <w:r w:rsidR="00AF76EB">
        <w:t xml:space="preserve">open </w:t>
      </w:r>
      <w:r>
        <w:t xml:space="preserve">issues for NR sidelink mode 1 resource allocation were identified and listed in </w:t>
      </w:r>
      <w:r>
        <w:fldChar w:fldCharType="begin"/>
      </w:r>
      <w:r>
        <w:instrText xml:space="preserve"> REF _Ref46758073 \r \h  \* MERGEFORMAT </w:instrText>
      </w:r>
      <w:r>
        <w:fldChar w:fldCharType="separate"/>
      </w:r>
      <w:r w:rsidR="00AF76EB">
        <w:t>[4]</w:t>
      </w:r>
      <w:r>
        <w:fldChar w:fldCharType="end"/>
      </w:r>
      <w:r>
        <w:t xml:space="preserve">. Most of the listed issues were discussed and addressed in RAN1 meeting #101-e. The only open issue, </w:t>
      </w:r>
      <w:r w:rsidR="00E24ECD">
        <w:t xml:space="preserve">which was </w:t>
      </w:r>
      <w:r>
        <w:t>not covered in email threads of RAN1 meeting #101-e, is the contents of sidelink HARQ feedback report from UE to gNB when the maximum number of HARQ retransmissions for a TB is reached. This is to address the FFS</w:t>
      </w:r>
      <w:r w:rsidR="0027763D">
        <w:t xml:space="preserve"> part of the following agreements </w:t>
      </w:r>
      <w:r w:rsidR="0027763D">
        <w:fldChar w:fldCharType="begin"/>
      </w:r>
      <w:r w:rsidR="0027763D">
        <w:instrText xml:space="preserve"> REF _Ref39499341 \r \h </w:instrText>
      </w:r>
      <w:r w:rsidR="0027763D">
        <w:fldChar w:fldCharType="separate"/>
      </w:r>
      <w:r w:rsidR="00AF76EB">
        <w:t>[5]</w:t>
      </w:r>
      <w:r w:rsidR="0027763D">
        <w:fldChar w:fldCharType="end"/>
      </w:r>
      <w:r w:rsidR="0027763D">
        <w:t>.</w:t>
      </w:r>
    </w:p>
    <w:p w14:paraId="1445BC7F" w14:textId="13507C42" w:rsidR="00CD632D" w:rsidRDefault="00CD632D" w:rsidP="00CD632D"/>
    <w:p w14:paraId="2C179D2D" w14:textId="77777777" w:rsidR="0027763D" w:rsidRPr="00676D6A" w:rsidRDefault="0027763D" w:rsidP="0027763D">
      <w:pPr>
        <w:rPr>
          <w:rFonts w:ascii="Calibri" w:hAnsi="Calibri"/>
          <w:szCs w:val="20"/>
          <w:highlight w:val="green"/>
        </w:rPr>
      </w:pPr>
      <w:r w:rsidRPr="00676D6A">
        <w:rPr>
          <w:szCs w:val="20"/>
          <w:highlight w:val="green"/>
        </w:rPr>
        <w:t>Agreements:</w:t>
      </w:r>
    </w:p>
    <w:p w14:paraId="0F59D14C" w14:textId="2B486BFD" w:rsidR="0027763D" w:rsidRPr="00676D6A" w:rsidRDefault="0027763D" w:rsidP="0027763D">
      <w:pPr>
        <w:numPr>
          <w:ilvl w:val="1"/>
          <w:numId w:val="36"/>
        </w:numPr>
        <w:tabs>
          <w:tab w:val="num" w:pos="0"/>
        </w:tabs>
        <w:ind w:left="720"/>
        <w:jc w:val="both"/>
        <w:rPr>
          <w:szCs w:val="20"/>
        </w:rPr>
      </w:pPr>
      <w:r w:rsidRPr="00676D6A">
        <w:rPr>
          <w:szCs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03BF140D" w14:textId="77777777" w:rsidR="0027763D" w:rsidRPr="00676D6A" w:rsidRDefault="0027763D" w:rsidP="0027763D">
      <w:pPr>
        <w:numPr>
          <w:ilvl w:val="1"/>
          <w:numId w:val="36"/>
        </w:numPr>
        <w:tabs>
          <w:tab w:val="clear" w:pos="1440"/>
          <w:tab w:val="num" w:pos="720"/>
        </w:tabs>
        <w:ind w:left="720"/>
        <w:jc w:val="both"/>
        <w:rPr>
          <w:szCs w:val="20"/>
        </w:rPr>
      </w:pPr>
      <w:r w:rsidRPr="00676D6A">
        <w:rPr>
          <w:szCs w:val="20"/>
        </w:rPr>
        <w:t xml:space="preserve">In case of reaching the maximum number of HARQ re-transmissions for a TB using resources provided by a configured grant:  </w:t>
      </w:r>
    </w:p>
    <w:p w14:paraId="5470D61E" w14:textId="77777777" w:rsidR="0027763D" w:rsidRPr="00676D6A" w:rsidRDefault="0027763D" w:rsidP="0027763D">
      <w:pPr>
        <w:numPr>
          <w:ilvl w:val="2"/>
          <w:numId w:val="36"/>
        </w:numPr>
        <w:tabs>
          <w:tab w:val="clear" w:pos="2160"/>
          <w:tab w:val="num" w:pos="1440"/>
        </w:tabs>
        <w:ind w:left="1440"/>
        <w:jc w:val="both"/>
        <w:rPr>
          <w:i/>
          <w:iCs/>
          <w:szCs w:val="20"/>
        </w:rPr>
      </w:pPr>
      <w:r w:rsidRPr="00676D6A">
        <w:rPr>
          <w:i/>
          <w:iCs/>
          <w:szCs w:val="20"/>
        </w:rPr>
        <w:t>Alt 1. The UE reports ACK to the gNB. </w:t>
      </w:r>
    </w:p>
    <w:p w14:paraId="07D31ADD" w14:textId="77777777" w:rsidR="0027763D" w:rsidRPr="00676D6A" w:rsidRDefault="0027763D" w:rsidP="0027763D">
      <w:pPr>
        <w:numPr>
          <w:ilvl w:val="2"/>
          <w:numId w:val="36"/>
        </w:numPr>
        <w:tabs>
          <w:tab w:val="clear" w:pos="2160"/>
          <w:tab w:val="num" w:pos="1440"/>
        </w:tabs>
        <w:ind w:left="1440"/>
        <w:jc w:val="both"/>
        <w:rPr>
          <w:i/>
          <w:iCs/>
          <w:szCs w:val="20"/>
        </w:rPr>
      </w:pPr>
      <w:r w:rsidRPr="00676D6A">
        <w:rPr>
          <w:i/>
          <w:iCs/>
          <w:szCs w:val="20"/>
        </w:rPr>
        <w:t>Alt 2. The UE reports ACK/NACK based on the corresponding PSFCH reception(s) or absence(s) thereof.</w:t>
      </w:r>
    </w:p>
    <w:p w14:paraId="56DA199E" w14:textId="77777777" w:rsidR="00CD632D" w:rsidRPr="00CD632D" w:rsidRDefault="00CD632D" w:rsidP="00CD632D"/>
    <w:p w14:paraId="10AE7D0E" w14:textId="2321A422" w:rsidR="00DF5047" w:rsidRDefault="00DF5047" w:rsidP="00B15AB9">
      <w:pPr>
        <w:jc w:val="both"/>
        <w:rPr>
          <w:szCs w:val="20"/>
        </w:rPr>
      </w:pPr>
      <w:r>
        <w:rPr>
          <w:szCs w:val="20"/>
        </w:rPr>
        <w:t xml:space="preserve">The maximum number of HARQ retransmissions of a TB is </w:t>
      </w:r>
      <w:r w:rsidR="00960A93">
        <w:rPr>
          <w:szCs w:val="20"/>
        </w:rPr>
        <w:t>configured</w:t>
      </w:r>
      <w:r>
        <w:rPr>
          <w:szCs w:val="20"/>
        </w:rPr>
        <w:t xml:space="preserve"> as </w:t>
      </w:r>
      <w:r w:rsidR="00960A93">
        <w:rPr>
          <w:szCs w:val="20"/>
        </w:rPr>
        <w:t xml:space="preserve">a </w:t>
      </w:r>
      <w:r>
        <w:rPr>
          <w:szCs w:val="20"/>
        </w:rPr>
        <w:t xml:space="preserve">part of PSSCH configuration. </w:t>
      </w:r>
      <w:r w:rsidR="00B15AB9">
        <w:rPr>
          <w:szCs w:val="20"/>
        </w:rPr>
        <w:t>This restriction applies to both dynamic grant and configured grant. In our view, UE simply reports ACK or NACK based on the corresponding PSFCH receptions</w:t>
      </w:r>
      <w:r w:rsidR="00AF76EB">
        <w:rPr>
          <w:szCs w:val="20"/>
        </w:rPr>
        <w:t>, no matter whether the maximum number of HARQ retransmissions of a TB is reached or not</w:t>
      </w:r>
      <w:r w:rsidR="00B15AB9">
        <w:rPr>
          <w:szCs w:val="20"/>
        </w:rPr>
        <w:t>. gNB is aware of the maximum number of HARQ retransmissions of a TB, and hence stops scheduling additional retransmission resources</w:t>
      </w:r>
      <w:r w:rsidR="00E85A7B">
        <w:rPr>
          <w:szCs w:val="20"/>
        </w:rPr>
        <w:t xml:space="preserve"> if applicable</w:t>
      </w:r>
      <w:r w:rsidR="00B15AB9">
        <w:rPr>
          <w:szCs w:val="20"/>
        </w:rPr>
        <w:t>.</w:t>
      </w:r>
    </w:p>
    <w:p w14:paraId="28B33321" w14:textId="7DBD53CC" w:rsidR="00DF5047" w:rsidRDefault="00DF5047" w:rsidP="00A501E9">
      <w:pPr>
        <w:rPr>
          <w:szCs w:val="20"/>
        </w:rPr>
      </w:pPr>
    </w:p>
    <w:p w14:paraId="141BF851" w14:textId="7E0FDEFC" w:rsidR="00DF5047" w:rsidRDefault="00DF5047" w:rsidP="00DF5047">
      <w:pPr>
        <w:jc w:val="both"/>
        <w:rPr>
          <w:i/>
        </w:rPr>
      </w:pPr>
      <w:r w:rsidRPr="001C381A">
        <w:rPr>
          <w:b/>
          <w:i/>
          <w:u w:val="single"/>
        </w:rPr>
        <w:t xml:space="preserve">Proposal </w:t>
      </w:r>
      <w:r w:rsidR="00C738F0">
        <w:rPr>
          <w:b/>
          <w:i/>
          <w:u w:val="single"/>
        </w:rPr>
        <w:t>1</w:t>
      </w:r>
      <w:r w:rsidRPr="001C381A">
        <w:rPr>
          <w:b/>
          <w:i/>
          <w:u w:val="single"/>
        </w:rPr>
        <w:t>:</w:t>
      </w:r>
      <w:r w:rsidRPr="001C381A">
        <w:rPr>
          <w:i/>
        </w:rPr>
        <w:t xml:space="preserve"> </w:t>
      </w:r>
      <w:r>
        <w:rPr>
          <w:i/>
        </w:rPr>
        <w:t>I</w:t>
      </w:r>
      <w:r w:rsidRPr="00DF5047">
        <w:rPr>
          <w:i/>
        </w:rPr>
        <w:t>n case of reaching the maximum number of HARQ re-transmissions for a TB</w:t>
      </w:r>
      <w:r>
        <w:rPr>
          <w:i/>
        </w:rPr>
        <w:t xml:space="preserve">, </w:t>
      </w:r>
      <w:r w:rsidRPr="00DF5047">
        <w:rPr>
          <w:i/>
        </w:rPr>
        <w:t>UE reports ACK/NACK based on the corresponding PSFCH reception</w:t>
      </w:r>
      <w:r w:rsidR="00B15AB9">
        <w:rPr>
          <w:i/>
        </w:rPr>
        <w:t>s</w:t>
      </w:r>
      <w:r w:rsidR="00702011">
        <w:rPr>
          <w:i/>
        </w:rPr>
        <w:t xml:space="preserve"> or absences(s) thereof</w:t>
      </w:r>
      <w:r w:rsidRPr="00DF5047">
        <w:rPr>
          <w:i/>
        </w:rPr>
        <w:t>.</w:t>
      </w:r>
    </w:p>
    <w:p w14:paraId="38760458" w14:textId="22917A37" w:rsidR="001E7515" w:rsidRDefault="001E7515" w:rsidP="00DF5047">
      <w:pPr>
        <w:jc w:val="both"/>
        <w:rPr>
          <w:i/>
        </w:rPr>
      </w:pPr>
    </w:p>
    <w:p w14:paraId="453831DC" w14:textId="77777777" w:rsidR="00C15976" w:rsidRDefault="00702011" w:rsidP="00DF5047">
      <w:pPr>
        <w:jc w:val="both"/>
        <w:rPr>
          <w:iCs/>
        </w:rPr>
      </w:pPr>
      <w:r>
        <w:rPr>
          <w:iCs/>
        </w:rPr>
        <w:t>Since it was agreed that UE be</w:t>
      </w:r>
      <w:r w:rsidR="00C15976">
        <w:rPr>
          <w:iCs/>
        </w:rPr>
        <w:t xml:space="preserve">havior in this case needs to be specified, we have the following text proposal: </w:t>
      </w:r>
    </w:p>
    <w:p w14:paraId="29858E84" w14:textId="77777777" w:rsidR="00C15976" w:rsidRDefault="00C15976" w:rsidP="00DF5047">
      <w:pPr>
        <w:jc w:val="both"/>
        <w:rPr>
          <w:iCs/>
        </w:rPr>
      </w:pPr>
    </w:p>
    <w:tbl>
      <w:tblPr>
        <w:tblStyle w:val="TableGrid"/>
        <w:tblW w:w="0" w:type="auto"/>
        <w:tblLook w:val="04A0" w:firstRow="1" w:lastRow="0" w:firstColumn="1" w:lastColumn="0" w:noHBand="0" w:noVBand="1"/>
      </w:tblPr>
      <w:tblGrid>
        <w:gridCol w:w="9629"/>
      </w:tblGrid>
      <w:tr w:rsidR="00C15976" w14:paraId="4740334A" w14:textId="77777777" w:rsidTr="00C15976">
        <w:tc>
          <w:tcPr>
            <w:tcW w:w="9629" w:type="dxa"/>
          </w:tcPr>
          <w:p w14:paraId="04FC8151" w14:textId="015D28A0" w:rsidR="00C15976" w:rsidRDefault="00C15976" w:rsidP="00C15976">
            <w:r>
              <w:t>-----------------------------</w:t>
            </w:r>
            <w:r>
              <w:rPr>
                <w:b/>
              </w:rPr>
              <w:t>Text proposal starts for TS 38.213, Section 16.5</w:t>
            </w:r>
            <w:r>
              <w:t xml:space="preserve"> --------------------------</w:t>
            </w:r>
          </w:p>
          <w:p w14:paraId="65F9B553" w14:textId="2A856C3A" w:rsidR="00C15976" w:rsidRPr="00C15976" w:rsidRDefault="00C15976" w:rsidP="00C15976">
            <w:pPr>
              <w:pStyle w:val="Heading2"/>
              <w:numPr>
                <w:ilvl w:val="0"/>
                <w:numId w:val="0"/>
              </w:numPr>
              <w:spacing w:before="0" w:after="0"/>
              <w:rPr>
                <w:rFonts w:eastAsia="Times New Roman"/>
                <w:iCs/>
                <w:sz w:val="24"/>
                <w:szCs w:val="24"/>
              </w:rPr>
            </w:pPr>
            <w:bookmarkStart w:id="0" w:name="_Toc29894887"/>
            <w:bookmarkStart w:id="1" w:name="_Toc29899186"/>
            <w:bookmarkStart w:id="2" w:name="_Toc29899604"/>
            <w:bookmarkStart w:id="3" w:name="_Toc29917340"/>
            <w:bookmarkStart w:id="4" w:name="_Toc36498215"/>
            <w:bookmarkStart w:id="5" w:name="_Toc45699245"/>
            <w:r w:rsidRPr="00C15976">
              <w:rPr>
                <w:rFonts w:eastAsia="Times New Roman"/>
                <w:iCs/>
                <w:sz w:val="24"/>
                <w:szCs w:val="24"/>
              </w:rPr>
              <w:t xml:space="preserve">16.5 </w:t>
            </w:r>
            <w:r w:rsidRPr="00C15976">
              <w:rPr>
                <w:rFonts w:eastAsia="Times New Roman" w:hint="eastAsia"/>
                <w:iCs/>
                <w:sz w:val="24"/>
                <w:szCs w:val="24"/>
              </w:rPr>
              <w:tab/>
            </w:r>
            <w:r w:rsidRPr="00C15976">
              <w:rPr>
                <w:rFonts w:eastAsia="Times New Roman"/>
                <w:iCs/>
                <w:sz w:val="24"/>
                <w:szCs w:val="24"/>
              </w:rPr>
              <w:t>UE procedure for reporting HARQ-ACK on uplink</w:t>
            </w:r>
            <w:bookmarkEnd w:id="0"/>
            <w:bookmarkEnd w:id="1"/>
            <w:bookmarkEnd w:id="2"/>
            <w:bookmarkEnd w:id="3"/>
            <w:bookmarkEnd w:id="4"/>
            <w:bookmarkEnd w:id="5"/>
          </w:p>
          <w:p w14:paraId="37AE1422" w14:textId="5B735517" w:rsidR="00C15976" w:rsidRDefault="00C15976" w:rsidP="00C15976">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3F2DAC5C" w14:textId="5F1B66F5" w:rsidR="00C15976" w:rsidRPr="00C15976" w:rsidRDefault="00C15976" w:rsidP="00C15976">
            <w:pPr>
              <w:jc w:val="both"/>
              <w:rPr>
                <w:iCs/>
              </w:rPr>
            </w:pPr>
            <w:r w:rsidRPr="00C15976">
              <w:rPr>
                <w:iCs/>
              </w:rPr>
              <w:t>For each PSFCH reception occasion,</w:t>
            </w:r>
            <w:r w:rsidR="00A22793">
              <w:rPr>
                <w:iCs/>
              </w:rPr>
              <w:t xml:space="preserve"> </w:t>
            </w:r>
            <w:r w:rsidRPr="00C15976">
              <w:rPr>
                <w:iCs/>
              </w:rPr>
              <w:t>from a number of PSFCH reception occasions,</w:t>
            </w:r>
            <w:r w:rsidR="00A22793">
              <w:rPr>
                <w:iCs/>
              </w:rPr>
              <w:t xml:space="preserve"> </w:t>
            </w:r>
            <w:r w:rsidRPr="00C15976">
              <w:rPr>
                <w:iCs/>
              </w:rPr>
              <w:t>the UE generates HARQ-ACK information to report in a PUCCH or PUSCH transmission. The UE can be indicated by a SCI format to perform one of the following and the UE constructs a HARQ-ACK codeword with HARQ-ACK information, when applicable</w:t>
            </w:r>
            <w:r w:rsidR="00A22793">
              <w:rPr>
                <w:iCs/>
              </w:rPr>
              <w:t xml:space="preserve">, </w:t>
            </w:r>
            <w:r w:rsidR="00AF76EB">
              <w:rPr>
                <w:iCs/>
                <w:color w:val="0070C0"/>
              </w:rPr>
              <w:t xml:space="preserve">regardless </w:t>
            </w:r>
            <w:r w:rsidR="00A22793">
              <w:rPr>
                <w:iCs/>
                <w:color w:val="0070C0"/>
              </w:rPr>
              <w:t>the maximum number of HARQ retransmissions for a TB</w:t>
            </w:r>
            <w:r w:rsidR="00AF76EB">
              <w:rPr>
                <w:iCs/>
                <w:color w:val="0070C0"/>
              </w:rPr>
              <w:t xml:space="preserve"> is reached or not</w:t>
            </w:r>
            <w:r w:rsidR="00A22793">
              <w:rPr>
                <w:iCs/>
                <w:color w:val="0070C0"/>
              </w:rPr>
              <w:t>,</w:t>
            </w:r>
            <w:r w:rsidR="00A22793" w:rsidRPr="00C15976">
              <w:rPr>
                <w:iCs/>
              </w:rPr>
              <w:t xml:space="preserve"> </w:t>
            </w:r>
            <w:r w:rsidRPr="00C15976">
              <w:rPr>
                <w:iCs/>
              </w:rPr>
              <w:t xml:space="preserve"> </w:t>
            </w:r>
          </w:p>
          <w:p w14:paraId="563A1332" w14:textId="77777777" w:rsidR="00C15976" w:rsidRPr="00C15976" w:rsidRDefault="00C15976" w:rsidP="00C15976">
            <w:pPr>
              <w:pStyle w:val="B1"/>
              <w:spacing w:after="0"/>
            </w:pPr>
            <w:r w:rsidRPr="00C15976">
              <w:t>-</w:t>
            </w:r>
            <w:r w:rsidRPr="00C15976">
              <w:tab/>
            </w:r>
            <w:r w:rsidRPr="00C15976">
              <w:rPr>
                <w:bCs/>
                <w:kern w:val="32"/>
                <w:lang w:eastAsia="zh-CN"/>
              </w:rPr>
              <w:t>if</w:t>
            </w:r>
            <w:r w:rsidRPr="00C15976">
              <w:rPr>
                <w:rFonts w:eastAsia="Malgun Gothic"/>
              </w:rPr>
              <w:t xml:space="preserve"> the UE receives a PSFCH associated with a SCI format 2-A with Cast type indicator field value of "10"</w:t>
            </w:r>
          </w:p>
          <w:p w14:paraId="0CFF53D6" w14:textId="77777777" w:rsidR="00C15976" w:rsidRPr="00C15976" w:rsidRDefault="00C15976" w:rsidP="00C15976">
            <w:pPr>
              <w:pStyle w:val="B2"/>
              <w:spacing w:after="0"/>
              <w:rPr>
                <w:lang w:eastAsia="zh-CN"/>
              </w:rPr>
            </w:pPr>
            <w:r w:rsidRPr="00C15976">
              <w:t>-</w:t>
            </w:r>
            <w:r w:rsidRPr="00C15976">
              <w:tab/>
            </w:r>
            <w:r w:rsidRPr="00C15976">
              <w:rPr>
                <w:lang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3A3FF715" w14:textId="77777777" w:rsidR="00C15976" w:rsidRPr="00C15976" w:rsidRDefault="00C15976" w:rsidP="00C15976">
            <w:pPr>
              <w:pStyle w:val="B1"/>
              <w:spacing w:after="0"/>
              <w:rPr>
                <w:bCs/>
                <w:kern w:val="32"/>
                <w:lang w:eastAsia="zh-CN"/>
              </w:rPr>
            </w:pPr>
            <w:r w:rsidRPr="00C15976">
              <w:t>-</w:t>
            </w:r>
            <w:r w:rsidRPr="00C15976">
              <w:tab/>
            </w:r>
            <w:r w:rsidRPr="00C15976">
              <w:rPr>
                <w:bCs/>
                <w:kern w:val="32"/>
                <w:lang w:eastAsia="zh-CN"/>
              </w:rPr>
              <w:t>if</w:t>
            </w:r>
            <w:r w:rsidRPr="00C15976">
              <w:rPr>
                <w:rFonts w:eastAsia="Malgun Gothic"/>
              </w:rPr>
              <w:t xml:space="preserve"> the UE receives a PSFCH associated with a SCI format 2-A with Cast type indicator field value of "01"</w:t>
            </w:r>
            <w:r w:rsidRPr="00C15976">
              <w:rPr>
                <w:bCs/>
                <w:kern w:val="32"/>
                <w:lang w:eastAsia="zh-CN"/>
              </w:rPr>
              <w:t xml:space="preserve"> </w:t>
            </w:r>
          </w:p>
          <w:p w14:paraId="42F6BF43" w14:textId="77777777" w:rsidR="00C15976" w:rsidRPr="00C15976" w:rsidRDefault="00C15976" w:rsidP="00C15976">
            <w:pPr>
              <w:pStyle w:val="B2"/>
              <w:spacing w:after="0"/>
              <w:rPr>
                <w:bCs/>
                <w:kern w:val="32"/>
                <w:lang w:eastAsia="zh-CN"/>
              </w:rPr>
            </w:pPr>
            <w:r w:rsidRPr="00C15976">
              <w:t>-</w:t>
            </w:r>
            <w:r w:rsidRPr="00C15976">
              <w:tab/>
            </w:r>
            <w:r w:rsidRPr="00C15976">
              <w:rPr>
                <w:rFonts w:eastAsia="Malgun Gothic"/>
              </w:rPr>
              <w:t xml:space="preserve">generate ACK if the UE determines ACK from at least one PSFCH reception occasion, from the number of PSFCH reception occasions, in PSFCH resources corresponding to every identity </w:t>
            </w:r>
            <m:oMath>
              <m:sSub>
                <m:sSubPr>
                  <m:ctrlPr>
                    <w:rPr>
                      <w:rFonts w:ascii="Cambria Math" w:hAnsi="Cambria Math"/>
                      <w:i/>
                      <w:iCs/>
                    </w:rPr>
                  </m:ctrlPr>
                </m:sSubPr>
                <m:e>
                  <m:r>
                    <w:rPr>
                      <w:rFonts w:ascii="Cambria Math" w:eastAsia="Malgun Gothic" w:hAnsi="Cambria Math"/>
                    </w:rPr>
                    <m:t>M</m:t>
                  </m:r>
                </m:e>
                <m:sub>
                  <m:r>
                    <m:rPr>
                      <m:nor/>
                    </m:rPr>
                    <w:rPr>
                      <w:rFonts w:eastAsia="Malgun Gothic"/>
                    </w:rPr>
                    <m:t>ID</m:t>
                  </m:r>
                  <m:ctrlPr>
                    <w:rPr>
                      <w:rFonts w:ascii="Cambria Math" w:hAnsi="Cambria Math"/>
                    </w:rPr>
                  </m:ctrlPr>
                </m:sub>
              </m:sSub>
            </m:oMath>
            <w:r w:rsidRPr="00C15976">
              <w:rPr>
                <w:rFonts w:eastAsia="Malgun Gothic"/>
              </w:rPr>
              <w:t xml:space="preserve"> of the UEs that the UE expects to receive the PSSCH, as described in Clause 16.3; otherwise, generate NACK</w:t>
            </w:r>
            <w:r w:rsidRPr="00C15976">
              <w:rPr>
                <w:bCs/>
                <w:kern w:val="32"/>
                <w:lang w:eastAsia="zh-CN"/>
              </w:rPr>
              <w:t xml:space="preserve"> </w:t>
            </w:r>
          </w:p>
          <w:p w14:paraId="0F1456FE" w14:textId="77777777" w:rsidR="00C15976" w:rsidRPr="00C15976" w:rsidRDefault="00C15976" w:rsidP="00C15976">
            <w:pPr>
              <w:pStyle w:val="B1"/>
              <w:spacing w:after="0"/>
              <w:rPr>
                <w:bCs/>
                <w:kern w:val="32"/>
                <w:lang w:eastAsia="zh-CN"/>
              </w:rPr>
            </w:pPr>
            <w:r w:rsidRPr="00C15976">
              <w:t>-</w:t>
            </w:r>
            <w:r w:rsidRPr="00C15976">
              <w:tab/>
            </w:r>
            <w:r w:rsidRPr="00C15976">
              <w:rPr>
                <w:bCs/>
                <w:kern w:val="32"/>
                <w:lang w:eastAsia="zh-CN"/>
              </w:rPr>
              <w:t>if</w:t>
            </w:r>
            <w:r w:rsidRPr="00C15976">
              <w:rPr>
                <w:rFonts w:eastAsia="Malgun Gothic"/>
              </w:rPr>
              <w:t xml:space="preserve"> the UE receives a PSFCH associated with a SCI format 2-B </w:t>
            </w:r>
          </w:p>
          <w:p w14:paraId="72944458" w14:textId="1AE54881" w:rsidR="00C15976" w:rsidRPr="00A22793" w:rsidRDefault="00C15976" w:rsidP="00A22793">
            <w:pPr>
              <w:pStyle w:val="B2"/>
              <w:spacing w:after="0"/>
              <w:rPr>
                <w:lang w:eastAsia="zh-CN"/>
              </w:rPr>
            </w:pPr>
            <w:r w:rsidRPr="00C15976">
              <w:t>-</w:t>
            </w:r>
            <w:r w:rsidRPr="00C15976">
              <w:tab/>
            </w:r>
            <w:r w:rsidRPr="00C15976">
              <w:rPr>
                <w:lang w:eastAsia="zh-CN"/>
              </w:rPr>
              <w:t xml:space="preserve">generate ACK when the UE determines absence of PSFCH reception for each PSFCH reception occasion from the number of PSFCH reception occasions; otherwise, generate NACK </w:t>
            </w:r>
          </w:p>
          <w:p w14:paraId="791C1079" w14:textId="18359A76" w:rsidR="00C15976" w:rsidRDefault="00C15976" w:rsidP="00C15976">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7319FE5D" w14:textId="0D1972A2" w:rsidR="00C15976" w:rsidRPr="00C15976" w:rsidRDefault="00C15976" w:rsidP="00C15976">
            <w:r>
              <w:t>-----------------------------</w:t>
            </w:r>
            <w:r>
              <w:rPr>
                <w:b/>
              </w:rPr>
              <w:t>Text proposal ends for TS 38.213, Section 16.5</w:t>
            </w:r>
            <w:r>
              <w:t xml:space="preserve"> --------------------------</w:t>
            </w:r>
          </w:p>
        </w:tc>
      </w:tr>
    </w:tbl>
    <w:p w14:paraId="16E7358C" w14:textId="519D1069" w:rsidR="00DF5047" w:rsidRPr="00A22793" w:rsidRDefault="00C15976" w:rsidP="00A22793">
      <w:pPr>
        <w:jc w:val="both"/>
        <w:rPr>
          <w:iCs/>
        </w:rPr>
      </w:pPr>
      <w:r>
        <w:rPr>
          <w:iCs/>
        </w:rPr>
        <w:t xml:space="preserve"> </w:t>
      </w:r>
    </w:p>
    <w:p w14:paraId="1BFD74BA" w14:textId="77777777" w:rsidR="00C738F0" w:rsidRPr="00A22793" w:rsidRDefault="00C738F0" w:rsidP="00C738F0">
      <w:pPr>
        <w:pStyle w:val="Heading2"/>
        <w:ind w:left="720" w:hanging="720"/>
        <w:rPr>
          <w:sz w:val="28"/>
        </w:rPr>
      </w:pPr>
      <w:r w:rsidRPr="00A22793">
        <w:rPr>
          <w:sz w:val="28"/>
        </w:rPr>
        <w:t xml:space="preserve">DCI format size alignment </w:t>
      </w:r>
    </w:p>
    <w:p w14:paraId="5803F02D" w14:textId="31E00ACB" w:rsidR="00A22793" w:rsidRDefault="00E24ECD" w:rsidP="00C738F0">
      <w:pPr>
        <w:rPr>
          <w:szCs w:val="20"/>
        </w:rPr>
      </w:pPr>
      <w:r>
        <w:rPr>
          <w:szCs w:val="20"/>
        </w:rPr>
        <w:t xml:space="preserve">The alignment of DCI format 3_0 with other DCI formats was discussed in RAN1 meeting </w:t>
      </w:r>
      <w:r>
        <w:t xml:space="preserve">#101-e </w:t>
      </w:r>
      <w:r>
        <w:fldChar w:fldCharType="begin"/>
      </w:r>
      <w:r>
        <w:instrText xml:space="preserve"> REF _Ref46760848 \r \h </w:instrText>
      </w:r>
      <w:r>
        <w:fldChar w:fldCharType="separate"/>
      </w:r>
      <w:r w:rsidR="00AF76EB">
        <w:t>[6]</w:t>
      </w:r>
      <w:r>
        <w:fldChar w:fldCharType="end"/>
      </w:r>
      <w:r>
        <w:t xml:space="preserve">, with the summary in </w:t>
      </w:r>
      <w:r>
        <w:fldChar w:fldCharType="begin"/>
      </w:r>
      <w:r>
        <w:instrText xml:space="preserve"> REF _Ref46758073 \r \h </w:instrText>
      </w:r>
      <w:r>
        <w:fldChar w:fldCharType="separate"/>
      </w:r>
      <w:r w:rsidR="00AF76EB">
        <w:t>[4]</w:t>
      </w:r>
      <w:r>
        <w:fldChar w:fldCharType="end"/>
      </w:r>
      <w:r w:rsidR="00676D6A">
        <w:t xml:space="preserve"> and the following agreements: </w:t>
      </w:r>
    </w:p>
    <w:p w14:paraId="39B85585" w14:textId="77777777" w:rsidR="00E24ECD" w:rsidRDefault="00E24ECD" w:rsidP="00C738F0">
      <w:pPr>
        <w:rPr>
          <w:highlight w:val="green"/>
          <w:lang w:eastAsia="en-US"/>
        </w:rPr>
      </w:pPr>
    </w:p>
    <w:p w14:paraId="6573BFE3" w14:textId="1368516C" w:rsidR="00C738F0" w:rsidRPr="00676D6A" w:rsidRDefault="00C738F0" w:rsidP="00C738F0">
      <w:pPr>
        <w:rPr>
          <w:rFonts w:eastAsia="DengXian"/>
          <w:highlight w:val="green"/>
          <w:lang w:eastAsia="en-US"/>
        </w:rPr>
      </w:pPr>
      <w:r w:rsidRPr="00676D6A">
        <w:rPr>
          <w:highlight w:val="green"/>
          <w:lang w:eastAsia="en-US"/>
        </w:rPr>
        <w:t>Agreements:</w:t>
      </w:r>
    </w:p>
    <w:p w14:paraId="249549C6" w14:textId="77777777" w:rsidR="00C738F0" w:rsidRPr="00676D6A" w:rsidRDefault="00C738F0" w:rsidP="00C738F0">
      <w:pPr>
        <w:pStyle w:val="ListParagraph"/>
        <w:numPr>
          <w:ilvl w:val="0"/>
          <w:numId w:val="40"/>
        </w:numPr>
        <w:rPr>
          <w:rFonts w:ascii="Times New Roman" w:hAnsi="Times New Roman"/>
          <w:sz w:val="24"/>
          <w:szCs w:val="24"/>
        </w:rPr>
      </w:pPr>
      <w:r w:rsidRPr="00676D6A">
        <w:rPr>
          <w:rFonts w:ascii="Times New Roman" w:hAnsi="Times New Roman"/>
          <w:sz w:val="24"/>
          <w:szCs w:val="24"/>
        </w:rPr>
        <w:t>(</w:t>
      </w:r>
      <w:r w:rsidRPr="00676D6A">
        <w:rPr>
          <w:rFonts w:ascii="Times New Roman" w:hAnsi="Times New Roman"/>
          <w:sz w:val="24"/>
          <w:szCs w:val="24"/>
          <w:highlight w:val="darkYellow"/>
        </w:rPr>
        <w:t>working assumption</w:t>
      </w:r>
      <w:r w:rsidRPr="00676D6A">
        <w:rPr>
          <w:rFonts w:ascii="Times New Roman" w:hAnsi="Times New Roman"/>
          <w:sz w:val="24"/>
          <w:szCs w:val="24"/>
        </w:rPr>
        <w:t>) The resource pool index</w:t>
      </w:r>
      <w:r w:rsidRPr="00460BF5">
        <w:rPr>
          <w:rFonts w:ascii="Times New Roman" w:hAnsi="Times New Roman"/>
          <w:color w:val="000000" w:themeColor="text1"/>
          <w:sz w:val="24"/>
          <w:szCs w:val="24"/>
        </w:rPr>
        <w:t xml:space="preserve"> (if present) </w:t>
      </w:r>
      <w:r w:rsidRPr="00676D6A">
        <w:rPr>
          <w:rFonts w:ascii="Times New Roman" w:hAnsi="Times New Roman"/>
          <w:sz w:val="24"/>
          <w:szCs w:val="24"/>
        </w:rPr>
        <w:t>is the first information field in DCI format 3_0.</w:t>
      </w:r>
    </w:p>
    <w:p w14:paraId="1815D90A" w14:textId="41C7D1FA" w:rsidR="00C738F0" w:rsidRPr="00676D6A" w:rsidRDefault="00C738F0" w:rsidP="00C738F0">
      <w:pPr>
        <w:pStyle w:val="ListParagraph"/>
        <w:numPr>
          <w:ilvl w:val="0"/>
          <w:numId w:val="40"/>
        </w:numPr>
        <w:rPr>
          <w:rFonts w:ascii="Times New Roman" w:hAnsi="Times New Roman"/>
          <w:sz w:val="24"/>
          <w:szCs w:val="24"/>
        </w:rPr>
      </w:pPr>
      <w:r w:rsidRPr="00676D6A">
        <w:rPr>
          <w:rFonts w:ascii="Times New Roman" w:hAnsi="Times New Roman"/>
          <w:sz w:val="24"/>
          <w:szCs w:val="24"/>
        </w:rPr>
        <w:t>The size of DCI format 3_0 before alignment with other DCI format sizes is determined based on the configured resource pool resulting the largest DCI size. If necessary, zero padding, added after all the fields, is used to align to this size when other resource pool indices are signaled.</w:t>
      </w:r>
    </w:p>
    <w:p w14:paraId="19341214" w14:textId="0C15D526" w:rsidR="00C738F0" w:rsidRDefault="00C738F0" w:rsidP="00C738F0">
      <w:pPr>
        <w:jc w:val="both"/>
        <w:rPr>
          <w:szCs w:val="20"/>
          <w:lang w:eastAsia="x-none"/>
        </w:rPr>
      </w:pPr>
    </w:p>
    <w:p w14:paraId="3C9EC8C1" w14:textId="18444E6A" w:rsidR="00676D6A" w:rsidRDefault="00676D6A" w:rsidP="00C738F0">
      <w:pPr>
        <w:jc w:val="both"/>
        <w:rPr>
          <w:szCs w:val="20"/>
          <w:lang w:eastAsia="x-none"/>
        </w:rPr>
      </w:pPr>
      <w:r>
        <w:rPr>
          <w:szCs w:val="20"/>
          <w:lang w:eastAsia="x-none"/>
        </w:rPr>
        <w:t>The agreements specify the size of DCI format 3_0 before alignment but does not specify with which DCI format size to be aligned. In the email discussions</w:t>
      </w:r>
      <w:r w:rsidR="00AF76EB">
        <w:rPr>
          <w:szCs w:val="20"/>
          <w:lang w:eastAsia="x-none"/>
        </w:rPr>
        <w:t xml:space="preserve"> </w:t>
      </w:r>
      <w:r w:rsidR="00AF76EB">
        <w:fldChar w:fldCharType="begin"/>
      </w:r>
      <w:r w:rsidR="00AF76EB">
        <w:instrText xml:space="preserve"> REF _Ref46760848 \r \h </w:instrText>
      </w:r>
      <w:r w:rsidR="00AF76EB">
        <w:fldChar w:fldCharType="separate"/>
      </w:r>
      <w:r w:rsidR="00AF76EB">
        <w:t>[6]</w:t>
      </w:r>
      <w:r w:rsidR="00AF76EB">
        <w:fldChar w:fldCharType="end"/>
      </w:r>
      <w:r w:rsidR="00AF76EB">
        <w:t>,</w:t>
      </w:r>
      <w:r>
        <w:rPr>
          <w:szCs w:val="20"/>
          <w:lang w:eastAsia="x-none"/>
        </w:rPr>
        <w:t xml:space="preserve">, one option is to align the size of DCI </w:t>
      </w:r>
      <w:r>
        <w:rPr>
          <w:szCs w:val="20"/>
          <w:lang w:eastAsia="x-none"/>
        </w:rPr>
        <w:lastRenderedPageBreak/>
        <w:t>format 3_0 size to the size of DCI format 0_1. It is possible that a UE is not configured to monitor DCI format 0_1, but</w:t>
      </w:r>
      <w:r w:rsidR="00460BF5">
        <w:rPr>
          <w:szCs w:val="20"/>
          <w:lang w:eastAsia="x-none"/>
        </w:rPr>
        <w:t xml:space="preserve"> is</w:t>
      </w:r>
      <w:r>
        <w:rPr>
          <w:szCs w:val="20"/>
          <w:lang w:eastAsia="x-none"/>
        </w:rPr>
        <w:t xml:space="preserve"> configured to monitor DCI format 3_0. </w:t>
      </w:r>
      <w:r w:rsidR="00460BF5">
        <w:rPr>
          <w:szCs w:val="20"/>
          <w:lang w:eastAsia="x-none"/>
        </w:rPr>
        <w:t xml:space="preserve">Hence, it is infeasible to align DCI format 3_0 size to DCI format 0_1. </w:t>
      </w:r>
    </w:p>
    <w:p w14:paraId="6D249A50" w14:textId="77777777" w:rsidR="00C738F0" w:rsidRPr="005E3449" w:rsidRDefault="00C738F0" w:rsidP="00C738F0">
      <w:pPr>
        <w:jc w:val="both"/>
        <w:rPr>
          <w:szCs w:val="20"/>
          <w:lang w:eastAsia="x-none"/>
        </w:rPr>
      </w:pPr>
    </w:p>
    <w:p w14:paraId="3040EF44" w14:textId="3C7B5E97" w:rsidR="00C738F0" w:rsidRDefault="00460BF5" w:rsidP="00C738F0">
      <w:pPr>
        <w:jc w:val="both"/>
        <w:rPr>
          <w:szCs w:val="20"/>
          <w:lang w:eastAsia="x-none"/>
        </w:rPr>
      </w:pPr>
      <w:r>
        <w:rPr>
          <w:szCs w:val="20"/>
          <w:lang w:eastAsia="x-none"/>
        </w:rPr>
        <w:t xml:space="preserve">In our view, a generalized framework is needed to align DCI format 3_0 size. </w:t>
      </w:r>
      <w:r w:rsidR="00C738F0" w:rsidRPr="005E3449">
        <w:rPr>
          <w:szCs w:val="20"/>
          <w:lang w:eastAsia="x-none"/>
        </w:rPr>
        <w:t xml:space="preserve">It is beneficial to align DCI format 3_0 to an existing </w:t>
      </w:r>
      <w:r w:rsidR="00C738F0">
        <w:rPr>
          <w:szCs w:val="20"/>
          <w:lang w:eastAsia="x-none"/>
        </w:rPr>
        <w:t xml:space="preserve">NR Uu </w:t>
      </w:r>
      <w:r w:rsidR="00C738F0" w:rsidRPr="005E3449">
        <w:rPr>
          <w:szCs w:val="20"/>
          <w:lang w:eastAsia="x-none"/>
        </w:rPr>
        <w:t xml:space="preserve">DCI format with similar payload size. </w:t>
      </w:r>
      <w:r w:rsidR="00C738F0">
        <w:rPr>
          <w:szCs w:val="20"/>
          <w:lang w:eastAsia="x-none"/>
        </w:rPr>
        <w:t xml:space="preserve">If DCI format 3_0 is not the largest DCI format to be monitored in a search space, then DCI format 3_0 is zero padded to the smallest NR Uu DCI format which is larger than DCI format 3_0. If DCI format 3_0 is the largest DCI format to be monitored in a search space, then the largest NR Uu DCI format is zero padded to DCI format 3_0. </w:t>
      </w:r>
    </w:p>
    <w:p w14:paraId="4627D573" w14:textId="77777777" w:rsidR="00C738F0" w:rsidRPr="005E3449" w:rsidRDefault="00C738F0" w:rsidP="00C738F0">
      <w:pPr>
        <w:jc w:val="both"/>
        <w:rPr>
          <w:szCs w:val="20"/>
          <w:lang w:eastAsia="x-none"/>
        </w:rPr>
      </w:pPr>
    </w:p>
    <w:p w14:paraId="01347D24" w14:textId="3952E5E0" w:rsidR="00C738F0" w:rsidRPr="00446D27" w:rsidRDefault="00C738F0" w:rsidP="00C738F0">
      <w:pPr>
        <w:jc w:val="both"/>
        <w:rPr>
          <w:i/>
        </w:rPr>
      </w:pPr>
      <w:r w:rsidRPr="005E3449">
        <w:rPr>
          <w:b/>
          <w:i/>
          <w:u w:val="single"/>
        </w:rPr>
        <w:t xml:space="preserve">Proposal </w:t>
      </w:r>
      <w:r>
        <w:rPr>
          <w:b/>
          <w:i/>
          <w:u w:val="single"/>
        </w:rPr>
        <w:t>2</w:t>
      </w:r>
      <w:r w:rsidRPr="005E3449">
        <w:rPr>
          <w:b/>
          <w:i/>
          <w:u w:val="single"/>
        </w:rPr>
        <w:t>:</w:t>
      </w:r>
      <w:r w:rsidRPr="005E3449">
        <w:rPr>
          <w:i/>
        </w:rPr>
        <w:t xml:space="preserve"> </w:t>
      </w:r>
      <w:r>
        <w:rPr>
          <w:i/>
        </w:rPr>
        <w:t>If NR DCI format 3_0 is not the largest DCI format to be monitored in a search space, then it is zero padded to the smallest NR Uu DCI format which is larger than DCI format 3_0. If NR DCI format 3_0 is the largest DCI format to be monitored in a search space, then the largest NR Uu DCI format is zero padded to DCI format 3_0.</w:t>
      </w:r>
    </w:p>
    <w:p w14:paraId="1B962D91" w14:textId="77777777" w:rsidR="00BA72B2" w:rsidRPr="00517557" w:rsidRDefault="00BA72B2" w:rsidP="00517557">
      <w:pPr>
        <w:jc w:val="both"/>
        <w:rPr>
          <w:i/>
        </w:rPr>
      </w:pPr>
    </w:p>
    <w:p w14:paraId="2896E657" w14:textId="2DF29AD0" w:rsidR="00854A60" w:rsidRPr="00A6576F" w:rsidRDefault="009C5A97" w:rsidP="00FB330B">
      <w:pPr>
        <w:pStyle w:val="Heading1"/>
      </w:pPr>
      <w:r w:rsidRPr="00A6576F">
        <w:t>Conclusion</w:t>
      </w:r>
    </w:p>
    <w:p w14:paraId="56311B75" w14:textId="7FDF0571"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 remaining</w:t>
      </w:r>
      <w:r w:rsidR="00A22793">
        <w:rPr>
          <w:rFonts w:eastAsia="MS Mincho"/>
          <w:lang w:eastAsia="ja-JP"/>
        </w:rPr>
        <w:t xml:space="preserve"> open issues of</w:t>
      </w:r>
      <w:r w:rsidR="009A18A9">
        <w:rPr>
          <w:rFonts w:eastAsia="MS Mincho"/>
          <w:lang w:eastAsia="ja-JP"/>
        </w:rPr>
        <w:t xml:space="preserve"> mode 1 resource allocation</w:t>
      </w:r>
      <w:r w:rsidR="005556E9" w:rsidRPr="00D8146E">
        <w:rPr>
          <w:rFonts w:eastAsia="MS Mincho"/>
          <w:lang w:eastAsia="ja-JP"/>
        </w:rPr>
        <w:t xml:space="preserve">. </w:t>
      </w:r>
      <w:r w:rsidRPr="00D8146E">
        <w:t>Our</w:t>
      </w:r>
      <w:r>
        <w:t xml:space="preserve"> proposals are as follows:</w:t>
      </w:r>
    </w:p>
    <w:p w14:paraId="43006661" w14:textId="016474AE" w:rsidR="00C738F0" w:rsidRDefault="00C738F0" w:rsidP="00D8146E">
      <w:pPr>
        <w:jc w:val="both"/>
      </w:pPr>
    </w:p>
    <w:p w14:paraId="05DCD7BC" w14:textId="79351BE4" w:rsidR="00C738F0" w:rsidRPr="00C738F0" w:rsidRDefault="00C738F0" w:rsidP="00D8146E">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I</w:t>
      </w:r>
      <w:r w:rsidRPr="00DF5047">
        <w:rPr>
          <w:i/>
        </w:rPr>
        <w:t>n case of reaching the maximum number of HARQ re-transmissions for a TB</w:t>
      </w:r>
      <w:r>
        <w:rPr>
          <w:i/>
        </w:rPr>
        <w:t xml:space="preserve">, </w:t>
      </w:r>
      <w:r w:rsidRPr="00DF5047">
        <w:rPr>
          <w:i/>
        </w:rPr>
        <w:t>UE reports ACK/NACK based on the corresponding PSFCH reception</w:t>
      </w:r>
      <w:r>
        <w:rPr>
          <w:i/>
        </w:rPr>
        <w:t>s</w:t>
      </w:r>
      <w:r w:rsidRPr="00DF5047">
        <w:rPr>
          <w:i/>
        </w:rPr>
        <w:t>.</w:t>
      </w:r>
    </w:p>
    <w:p w14:paraId="5C0239F0" w14:textId="77777777" w:rsidR="00725758" w:rsidRDefault="00725758" w:rsidP="00D8146E">
      <w:pPr>
        <w:jc w:val="both"/>
      </w:pPr>
    </w:p>
    <w:p w14:paraId="62269FEB" w14:textId="16F16887" w:rsidR="00725758" w:rsidRPr="00C738F0" w:rsidRDefault="00914355" w:rsidP="00C738F0">
      <w:pPr>
        <w:jc w:val="both"/>
        <w:rPr>
          <w:i/>
        </w:rPr>
      </w:pPr>
      <w:r w:rsidRPr="005E3449">
        <w:rPr>
          <w:b/>
          <w:i/>
          <w:u w:val="single"/>
        </w:rPr>
        <w:t xml:space="preserve">Proposal </w:t>
      </w:r>
      <w:r w:rsidR="00C738F0">
        <w:rPr>
          <w:b/>
          <w:i/>
          <w:u w:val="single"/>
        </w:rPr>
        <w:t>2</w:t>
      </w:r>
      <w:r w:rsidRPr="005E3449">
        <w:rPr>
          <w:b/>
          <w:i/>
          <w:u w:val="single"/>
        </w:rPr>
        <w:t>:</w:t>
      </w:r>
      <w:r w:rsidRPr="005E3449">
        <w:rPr>
          <w:i/>
        </w:rPr>
        <w:t xml:space="preserve"> </w:t>
      </w:r>
      <w:r>
        <w:rPr>
          <w:i/>
        </w:rPr>
        <w:t>If NR DCI format 3_0 is not the largest DCI format to be monitored in a search space, then it is zero padded to the smallest NR Uu DCI format which is larger than DCI format 3_0. If NR DCI format 3_0 is the largest DCI format to be monitored in a search space, then the largest NR Uu DCI format is zero padded to DCI format 3_0.</w:t>
      </w:r>
    </w:p>
    <w:p w14:paraId="35B15512" w14:textId="2BEA8758" w:rsidR="00914355" w:rsidRPr="009B789C" w:rsidRDefault="00914355" w:rsidP="00914355">
      <w:pPr>
        <w:jc w:val="both"/>
        <w:rPr>
          <w:i/>
        </w:rPr>
      </w:pPr>
    </w:p>
    <w:p w14:paraId="2E75F001" w14:textId="77777777" w:rsidR="007E70BB" w:rsidRPr="00A6576F" w:rsidRDefault="005C63AE" w:rsidP="007E70BB">
      <w:pPr>
        <w:pStyle w:val="Heading1"/>
      </w:pPr>
      <w:r w:rsidRPr="00A6576F">
        <w:t>References</w:t>
      </w:r>
    </w:p>
    <w:p w14:paraId="05AF2341" w14:textId="77777777" w:rsidR="00776774" w:rsidRDefault="00776774" w:rsidP="007767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3838761"/>
      <w:bookmarkStart w:id="7" w:name="_Ref20471832"/>
      <w:bookmarkStart w:id="8" w:name="_Ref20563970"/>
      <w:r w:rsidRPr="006400C7">
        <w:t>Chairman’s Notes, 3GPP TSG RAN</w:t>
      </w:r>
      <w:r>
        <w:t xml:space="preserve"> </w:t>
      </w:r>
      <w:r w:rsidRPr="006400C7">
        <w:t>#</w:t>
      </w:r>
      <w:r>
        <w:t>86</w:t>
      </w:r>
      <w:r w:rsidRPr="006400C7">
        <w:t xml:space="preserve"> Meeting, </w:t>
      </w:r>
      <w:r>
        <w:t>Sitges, ES, Dec</w:t>
      </w:r>
      <w:r w:rsidRPr="006400C7">
        <w:t>. 2019.</w:t>
      </w:r>
    </w:p>
    <w:p w14:paraId="095BA420" w14:textId="25165750" w:rsidR="00776774" w:rsidRDefault="00776774" w:rsidP="0077677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9"/>
    </w:p>
    <w:p w14:paraId="1813CCF5" w14:textId="0A8A9C5B" w:rsidR="0063723C" w:rsidRDefault="0063723C" w:rsidP="0063723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46758011"/>
      <w:r>
        <w:t>Chairman’s Notes, 3GPP TSG RAN1 WG1 #101-e Meeting, May 2020.</w:t>
      </w:r>
      <w:bookmarkEnd w:id="10"/>
    </w:p>
    <w:p w14:paraId="4FB1B233" w14:textId="73CB6BEA" w:rsidR="00CD632D" w:rsidRDefault="00CD632D" w:rsidP="000F184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46758073"/>
      <w:r>
        <w:t>R1-2004555, “</w:t>
      </w:r>
      <w:r w:rsidRPr="00CD632D">
        <w:t xml:space="preserve">Feature lead summary#2 on </w:t>
      </w:r>
      <w:r w:rsidR="000F184D">
        <w:t>r</w:t>
      </w:r>
      <w:r w:rsidRPr="00CD632D">
        <w:t xml:space="preserve">esource allocation for NR sidelink </w:t>
      </w:r>
      <w:r w:rsidR="000F184D">
        <w:t>m</w:t>
      </w:r>
      <w:r w:rsidRPr="00CD632D">
        <w:t>ode 1</w:t>
      </w:r>
      <w:r>
        <w:t>”, May</w:t>
      </w:r>
      <w:r w:rsidR="000F184D">
        <w:t xml:space="preserve"> 2020.</w:t>
      </w:r>
      <w:bookmarkEnd w:id="11"/>
    </w:p>
    <w:p w14:paraId="67CB9D63" w14:textId="77777777" w:rsidR="0027763D" w:rsidRDefault="0027763D" w:rsidP="0027763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39499341"/>
      <w:r>
        <w:t>Chairman’s Notes, 3GPP TSG RAN1 WG1 #100b-e Meeting, Apr. 2020.</w:t>
      </w:r>
      <w:bookmarkEnd w:id="12"/>
    </w:p>
    <w:p w14:paraId="3520AD31" w14:textId="7626ADCB" w:rsidR="00E24ECD" w:rsidRDefault="00E24ECD" w:rsidP="00E24EC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46760848"/>
      <w:r>
        <w:t xml:space="preserve">3GPP email discussion on </w:t>
      </w:r>
      <w:r>
        <w:rPr>
          <w:bCs/>
          <w:szCs w:val="20"/>
          <w:lang w:eastAsia="x-none"/>
        </w:rPr>
        <w:t>DCI aspects</w:t>
      </w:r>
      <w:r>
        <w:t>, [</w:t>
      </w:r>
      <w:r w:rsidRPr="00E24ECD">
        <w:t>101-e- NR-5G_V2X_NRSL-Mode-1-02</w:t>
      </w:r>
      <w:r>
        <w:t xml:space="preserve">], </w:t>
      </w:r>
      <w:r w:rsidR="00EB38B3">
        <w:t>May</w:t>
      </w:r>
      <w:r>
        <w:t xml:space="preserve"> 2020.</w:t>
      </w:r>
      <w:bookmarkEnd w:id="13"/>
      <w:r w:rsidRPr="00546C2A">
        <w:t xml:space="preserve"> </w:t>
      </w:r>
      <w:bookmarkEnd w:id="6"/>
      <w:bookmarkEnd w:id="7"/>
      <w:bookmarkEnd w:id="8"/>
    </w:p>
    <w:sectPr w:rsidR="00E24ECD"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0A6E4" w14:textId="77777777" w:rsidR="00AB10FD" w:rsidRDefault="00AB10FD">
      <w:r>
        <w:separator/>
      </w:r>
    </w:p>
  </w:endnote>
  <w:endnote w:type="continuationSeparator" w:id="0">
    <w:p w14:paraId="4A93F43C" w14:textId="77777777" w:rsidR="00AB10FD" w:rsidRDefault="00AB10FD">
      <w:r>
        <w:continuationSeparator/>
      </w:r>
    </w:p>
  </w:endnote>
  <w:endnote w:type="continuationNotice" w:id="1">
    <w:p w14:paraId="06F94902" w14:textId="77777777" w:rsidR="00AB10FD" w:rsidRDefault="00AB1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4175F" w:rsidRDefault="00A417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8781E" w14:textId="77777777" w:rsidR="00AB10FD" w:rsidRDefault="00AB10FD">
      <w:r>
        <w:separator/>
      </w:r>
    </w:p>
  </w:footnote>
  <w:footnote w:type="continuationSeparator" w:id="0">
    <w:p w14:paraId="69C55BBE" w14:textId="77777777" w:rsidR="00AB10FD" w:rsidRDefault="00AB10FD">
      <w:r>
        <w:continuationSeparator/>
      </w:r>
    </w:p>
  </w:footnote>
  <w:footnote w:type="continuationNotice" w:id="1">
    <w:p w14:paraId="42D33230" w14:textId="77777777" w:rsidR="00AB10FD" w:rsidRDefault="00AB10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539C1D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086651C"/>
    <w:multiLevelType w:val="multilevel"/>
    <w:tmpl w:val="3CE46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4"/>
  </w:num>
  <w:num w:numId="3">
    <w:abstractNumId w:val="16"/>
  </w:num>
  <w:num w:numId="4">
    <w:abstractNumId w:val="17"/>
  </w:num>
  <w:num w:numId="5">
    <w:abstractNumId w:val="11"/>
  </w:num>
  <w:num w:numId="6">
    <w:abstractNumId w:val="20"/>
  </w:num>
  <w:num w:numId="7">
    <w:abstractNumId w:val="29"/>
  </w:num>
  <w:num w:numId="8">
    <w:abstractNumId w:val="12"/>
  </w:num>
  <w:num w:numId="9">
    <w:abstractNumId w:val="26"/>
  </w:num>
  <w:num w:numId="10">
    <w:abstractNumId w:val="0"/>
  </w:num>
  <w:num w:numId="11">
    <w:abstractNumId w:val="35"/>
  </w:num>
  <w:num w:numId="12">
    <w:abstractNumId w:val="3"/>
  </w:num>
  <w:num w:numId="13">
    <w:abstractNumId w:val="27"/>
  </w:num>
  <w:num w:numId="14">
    <w:abstractNumId w:val="19"/>
  </w:num>
  <w:num w:numId="15">
    <w:abstractNumId w:val="36"/>
  </w:num>
  <w:num w:numId="16">
    <w:abstractNumId w:val="40"/>
  </w:num>
  <w:num w:numId="17">
    <w:abstractNumId w:val="10"/>
  </w:num>
  <w:num w:numId="18">
    <w:abstractNumId w:val="33"/>
  </w:num>
  <w:num w:numId="19">
    <w:abstractNumId w:val="4"/>
  </w:num>
  <w:num w:numId="20">
    <w:abstractNumId w:val="34"/>
  </w:num>
  <w:num w:numId="21">
    <w:abstractNumId w:val="38"/>
  </w:num>
  <w:num w:numId="22">
    <w:abstractNumId w:val="25"/>
  </w:num>
  <w:num w:numId="23">
    <w:abstractNumId w:val="9"/>
  </w:num>
  <w:num w:numId="24">
    <w:abstractNumId w:val="13"/>
  </w:num>
  <w:num w:numId="25">
    <w:abstractNumId w:val="28"/>
  </w:num>
  <w:num w:numId="26">
    <w:abstractNumId w:val="39"/>
  </w:num>
  <w:num w:numId="27">
    <w:abstractNumId w:val="15"/>
  </w:num>
  <w:num w:numId="28">
    <w:abstractNumId w:val="31"/>
  </w:num>
  <w:num w:numId="29">
    <w:abstractNumId w:val="30"/>
  </w:num>
  <w:num w:numId="30">
    <w:abstractNumId w:val="2"/>
  </w:num>
  <w:num w:numId="31">
    <w:abstractNumId w:val="14"/>
  </w:num>
  <w:num w:numId="32">
    <w:abstractNumId w:val="18"/>
  </w:num>
  <w:num w:numId="33">
    <w:abstractNumId w:val="5"/>
  </w:num>
  <w:num w:numId="34">
    <w:abstractNumId w:val="22"/>
  </w:num>
  <w:num w:numId="35">
    <w:abstractNumId w:val="8"/>
  </w:num>
  <w:num w:numId="36">
    <w:abstractNumId w:val="41"/>
  </w:num>
  <w:num w:numId="37">
    <w:abstractNumId w:val="6"/>
  </w:num>
  <w:num w:numId="38">
    <w:abstractNumId w:val="37"/>
  </w:num>
  <w:num w:numId="39">
    <w:abstractNumId w:val="21"/>
  </w:num>
  <w:num w:numId="40">
    <w:abstractNumId w:val="32"/>
  </w:num>
  <w:num w:numId="41">
    <w:abstractNumId w:val="7"/>
  </w:num>
  <w:num w:numId="42">
    <w:abstractNumId w:val="23"/>
  </w:num>
  <w:num w:numId="4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3EEF"/>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4B45"/>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2CA"/>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D04F5"/>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4D"/>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30A"/>
    <w:rsid w:val="00154671"/>
    <w:rsid w:val="00155135"/>
    <w:rsid w:val="00155155"/>
    <w:rsid w:val="001551B5"/>
    <w:rsid w:val="001554CA"/>
    <w:rsid w:val="00155512"/>
    <w:rsid w:val="001556BD"/>
    <w:rsid w:val="001559A1"/>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34"/>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972"/>
    <w:rsid w:val="001D0BDA"/>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0A5"/>
    <w:rsid w:val="001E58DD"/>
    <w:rsid w:val="001E58E2"/>
    <w:rsid w:val="001E6034"/>
    <w:rsid w:val="001E6091"/>
    <w:rsid w:val="001E7281"/>
    <w:rsid w:val="001E7515"/>
    <w:rsid w:val="001E7AED"/>
    <w:rsid w:val="001F07D8"/>
    <w:rsid w:val="001F087C"/>
    <w:rsid w:val="001F0B22"/>
    <w:rsid w:val="001F1025"/>
    <w:rsid w:val="001F19C8"/>
    <w:rsid w:val="001F2689"/>
    <w:rsid w:val="001F3467"/>
    <w:rsid w:val="001F355A"/>
    <w:rsid w:val="001F36F5"/>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63D"/>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1B2"/>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7C8"/>
    <w:rsid w:val="002F4940"/>
    <w:rsid w:val="002F49ED"/>
    <w:rsid w:val="002F4EEB"/>
    <w:rsid w:val="002F4F23"/>
    <w:rsid w:val="002F539B"/>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884"/>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96C"/>
    <w:rsid w:val="00356FE7"/>
    <w:rsid w:val="0035728D"/>
    <w:rsid w:val="003572FA"/>
    <w:rsid w:val="00357380"/>
    <w:rsid w:val="0035754F"/>
    <w:rsid w:val="00357BB5"/>
    <w:rsid w:val="00360243"/>
    <w:rsid w:val="003602D9"/>
    <w:rsid w:val="003604CE"/>
    <w:rsid w:val="00360B3B"/>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1FD"/>
    <w:rsid w:val="003915EB"/>
    <w:rsid w:val="0039201C"/>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346"/>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4520"/>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334"/>
    <w:rsid w:val="004424BC"/>
    <w:rsid w:val="00442D73"/>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67C"/>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BF5"/>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CF1"/>
    <w:rsid w:val="00497DA1"/>
    <w:rsid w:val="004A02A2"/>
    <w:rsid w:val="004A0369"/>
    <w:rsid w:val="004A056F"/>
    <w:rsid w:val="004A12C3"/>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126"/>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0A6B"/>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B2D"/>
    <w:rsid w:val="00527463"/>
    <w:rsid w:val="00527A22"/>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8B4"/>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225"/>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44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A4F"/>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23C"/>
    <w:rsid w:val="0063753A"/>
    <w:rsid w:val="006377EC"/>
    <w:rsid w:val="00640116"/>
    <w:rsid w:val="006401D0"/>
    <w:rsid w:val="00640CEE"/>
    <w:rsid w:val="0064151F"/>
    <w:rsid w:val="00641533"/>
    <w:rsid w:val="0064193E"/>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5DFF"/>
    <w:rsid w:val="006669B6"/>
    <w:rsid w:val="00666E03"/>
    <w:rsid w:val="0066738B"/>
    <w:rsid w:val="00667EE7"/>
    <w:rsid w:val="00670237"/>
    <w:rsid w:val="0067047A"/>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D6A"/>
    <w:rsid w:val="0067719C"/>
    <w:rsid w:val="006771F9"/>
    <w:rsid w:val="0067767A"/>
    <w:rsid w:val="006776D7"/>
    <w:rsid w:val="006777B6"/>
    <w:rsid w:val="00680143"/>
    <w:rsid w:val="006801D5"/>
    <w:rsid w:val="0068021F"/>
    <w:rsid w:val="00680925"/>
    <w:rsid w:val="00680D2B"/>
    <w:rsid w:val="00680E0D"/>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33"/>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A62"/>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011"/>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758"/>
    <w:rsid w:val="00725CDF"/>
    <w:rsid w:val="00726422"/>
    <w:rsid w:val="00726EA6"/>
    <w:rsid w:val="00727208"/>
    <w:rsid w:val="0072766F"/>
    <w:rsid w:val="00727680"/>
    <w:rsid w:val="00727BE1"/>
    <w:rsid w:val="00727EC3"/>
    <w:rsid w:val="007301DD"/>
    <w:rsid w:val="00730860"/>
    <w:rsid w:val="00730EB3"/>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774"/>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1CD"/>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6DC9"/>
    <w:rsid w:val="007A7202"/>
    <w:rsid w:val="007A7354"/>
    <w:rsid w:val="007A7C57"/>
    <w:rsid w:val="007B0C78"/>
    <w:rsid w:val="007B1199"/>
    <w:rsid w:val="007B15A8"/>
    <w:rsid w:val="007B15C9"/>
    <w:rsid w:val="007B1A12"/>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1752"/>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589"/>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42"/>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CBE"/>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C35"/>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1E8"/>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1CC1"/>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0A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2F27"/>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355"/>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57C7D"/>
    <w:rsid w:val="009605EB"/>
    <w:rsid w:val="00960696"/>
    <w:rsid w:val="00960A93"/>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CAC"/>
    <w:rsid w:val="00996D62"/>
    <w:rsid w:val="00996ED7"/>
    <w:rsid w:val="009970DD"/>
    <w:rsid w:val="009977B1"/>
    <w:rsid w:val="00997ADB"/>
    <w:rsid w:val="00997BF9"/>
    <w:rsid w:val="009A0442"/>
    <w:rsid w:val="009A0927"/>
    <w:rsid w:val="009A0FBA"/>
    <w:rsid w:val="009A13E6"/>
    <w:rsid w:val="009A1601"/>
    <w:rsid w:val="009A18A9"/>
    <w:rsid w:val="009A22E1"/>
    <w:rsid w:val="009A29C9"/>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9F5"/>
    <w:rsid w:val="009C1C90"/>
    <w:rsid w:val="009C1DF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495"/>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0F5B"/>
    <w:rsid w:val="00A1106B"/>
    <w:rsid w:val="00A113F6"/>
    <w:rsid w:val="00A11AE0"/>
    <w:rsid w:val="00A12C38"/>
    <w:rsid w:val="00A13036"/>
    <w:rsid w:val="00A13E54"/>
    <w:rsid w:val="00A14582"/>
    <w:rsid w:val="00A147BA"/>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4BF"/>
    <w:rsid w:val="00A22793"/>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75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78E"/>
    <w:rsid w:val="00A75D39"/>
    <w:rsid w:val="00A761D4"/>
    <w:rsid w:val="00A7653F"/>
    <w:rsid w:val="00A76DBB"/>
    <w:rsid w:val="00A7706C"/>
    <w:rsid w:val="00A77E01"/>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0FD"/>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6EB"/>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AB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09"/>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164"/>
    <w:rsid w:val="00BA47B3"/>
    <w:rsid w:val="00BA49CB"/>
    <w:rsid w:val="00BA4AAB"/>
    <w:rsid w:val="00BA4F1E"/>
    <w:rsid w:val="00BA56D2"/>
    <w:rsid w:val="00BA592D"/>
    <w:rsid w:val="00BA67D4"/>
    <w:rsid w:val="00BA6BBA"/>
    <w:rsid w:val="00BA72B2"/>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B7BE2"/>
    <w:rsid w:val="00BC00D9"/>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976"/>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78"/>
    <w:rsid w:val="00C27186"/>
    <w:rsid w:val="00C279B5"/>
    <w:rsid w:val="00C27BD2"/>
    <w:rsid w:val="00C27C45"/>
    <w:rsid w:val="00C30691"/>
    <w:rsid w:val="00C30833"/>
    <w:rsid w:val="00C30F0B"/>
    <w:rsid w:val="00C31470"/>
    <w:rsid w:val="00C353D6"/>
    <w:rsid w:val="00C35447"/>
    <w:rsid w:val="00C35564"/>
    <w:rsid w:val="00C356D7"/>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D8B"/>
    <w:rsid w:val="00C65EFC"/>
    <w:rsid w:val="00C662E2"/>
    <w:rsid w:val="00C66E63"/>
    <w:rsid w:val="00C67803"/>
    <w:rsid w:val="00C7057C"/>
    <w:rsid w:val="00C70697"/>
    <w:rsid w:val="00C7129C"/>
    <w:rsid w:val="00C716A0"/>
    <w:rsid w:val="00C71E5F"/>
    <w:rsid w:val="00C72EF4"/>
    <w:rsid w:val="00C73332"/>
    <w:rsid w:val="00C738F0"/>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29"/>
    <w:rsid w:val="00C9027A"/>
    <w:rsid w:val="00C904B3"/>
    <w:rsid w:val="00C9068E"/>
    <w:rsid w:val="00C90D9C"/>
    <w:rsid w:val="00C910C3"/>
    <w:rsid w:val="00C91490"/>
    <w:rsid w:val="00C9182E"/>
    <w:rsid w:val="00C91F7D"/>
    <w:rsid w:val="00C91FCB"/>
    <w:rsid w:val="00C9206B"/>
    <w:rsid w:val="00C93196"/>
    <w:rsid w:val="00C9335F"/>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632D"/>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66E"/>
    <w:rsid w:val="00D04A7D"/>
    <w:rsid w:val="00D05367"/>
    <w:rsid w:val="00D05AA7"/>
    <w:rsid w:val="00D05F16"/>
    <w:rsid w:val="00D06305"/>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9D6"/>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047"/>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6B3"/>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6E5"/>
    <w:rsid w:val="00E16887"/>
    <w:rsid w:val="00E1691D"/>
    <w:rsid w:val="00E1698F"/>
    <w:rsid w:val="00E17720"/>
    <w:rsid w:val="00E17FA2"/>
    <w:rsid w:val="00E20601"/>
    <w:rsid w:val="00E209C7"/>
    <w:rsid w:val="00E209D9"/>
    <w:rsid w:val="00E20A0E"/>
    <w:rsid w:val="00E20FEC"/>
    <w:rsid w:val="00E22330"/>
    <w:rsid w:val="00E22C06"/>
    <w:rsid w:val="00E23633"/>
    <w:rsid w:val="00E23997"/>
    <w:rsid w:val="00E2423D"/>
    <w:rsid w:val="00E24340"/>
    <w:rsid w:val="00E24460"/>
    <w:rsid w:val="00E24518"/>
    <w:rsid w:val="00E24ECD"/>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C70"/>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A7B"/>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46F"/>
    <w:rsid w:val="00EB077B"/>
    <w:rsid w:val="00EB21E2"/>
    <w:rsid w:val="00EB22DA"/>
    <w:rsid w:val="00EB2E5A"/>
    <w:rsid w:val="00EB3645"/>
    <w:rsid w:val="00EB38B3"/>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C3D"/>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302"/>
    <w:rsid w:val="00F5635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4DD"/>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7FC"/>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9A9"/>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207"/>
    <w:rsid w:val="00FD74DB"/>
    <w:rsid w:val="00FD7660"/>
    <w:rsid w:val="00FD796C"/>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35D4"/>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style>
  <w:style w:type="paragraph" w:customStyle="1" w:styleId="B2">
    <w:name w:val="B2"/>
    <w:basedOn w:val="List2"/>
    <w:link w:val="B2Char"/>
    <w:qFormat/>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0Maintext">
    <w:name w:val="0 Main text"/>
    <w:basedOn w:val="Normal"/>
    <w:link w:val="0MaintextChar"/>
    <w:qFormat/>
    <w:rsid w:val="00C15976"/>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C15976"/>
    <w:rPr>
      <w:rFonts w:ascii="Times New Roman" w:hAnsi="Times New Roman" w:cs="Batang"/>
      <w:lang w:val="en-GB"/>
    </w:rPr>
  </w:style>
  <w:style w:type="paragraph" w:customStyle="1" w:styleId="textintend1">
    <w:name w:val="text intend 1"/>
    <w:basedOn w:val="Normal"/>
    <w:rsid w:val="00C15976"/>
    <w:pPr>
      <w:numPr>
        <w:numId w:val="4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C15976"/>
    <w:rPr>
      <w:rFonts w:ascii="Times New Roman" w:eastAsia="Times New Roman" w:hAnsi="Times New Roman"/>
      <w:sz w:val="24"/>
      <w:szCs w:val="24"/>
      <w:lang w:eastAsia="en-US"/>
    </w:rPr>
  </w:style>
  <w:style w:type="character" w:customStyle="1" w:styleId="B2Char">
    <w:name w:val="B2 Char"/>
    <w:link w:val="B2"/>
    <w:qFormat/>
    <w:rsid w:val="00C15976"/>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4265285">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1358673">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9443727">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6266739">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3</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2020-08-07T03:50:00Z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